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6A064E" w:rsidRPr="0003493F" w:rsidRDefault="00A33C24" w:rsidP="0003493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R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6A064E" w:rsidRPr="0003493F" w:rsidRDefault="00A828E9" w:rsidP="0003493F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205FD0">
        <w:rPr>
          <w:rFonts w:ascii="Arial" w:hAnsi="Arial" w:cs="Arial"/>
          <w:b/>
          <w:bCs/>
          <w:u w:val="single"/>
        </w:rPr>
        <w:t xml:space="preserve">ЈН БР. </w:t>
      </w:r>
      <w:r w:rsidR="00E074C2" w:rsidRPr="00E074C2">
        <w:rPr>
          <w:rFonts w:ascii="Arial" w:hAnsi="Arial" w:cs="Arial"/>
          <w:b/>
          <w:bCs/>
          <w:u w:val="single"/>
        </w:rPr>
        <w:t xml:space="preserve">ВНУ </w:t>
      </w:r>
      <w:r w:rsidR="00414D64" w:rsidRPr="00414D64">
        <w:rPr>
          <w:rFonts w:ascii="Arial" w:hAnsi="Arial" w:cs="Arial"/>
          <w:b/>
          <w:bCs/>
          <w:u w:val="single"/>
        </w:rPr>
        <w:t>30-II-27/15</w:t>
      </w:r>
    </w:p>
    <w:p w:rsidR="00CA673F" w:rsidRPr="00D02FB2" w:rsidRDefault="0003493F" w:rsidP="00E074C2">
      <w:pPr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lang w:val="sr-Cyrl-RS" w:eastAsia="ar-SA"/>
        </w:rPr>
      </w:pPr>
      <w:r>
        <w:rPr>
          <w:rFonts w:ascii="Arial" w:hAnsi="Arial" w:cs="Arial"/>
          <w:noProof/>
          <w:color w:val="000000" w:themeColor="text1"/>
          <w:lang w:val="sr-Cyrl-CS"/>
        </w:rPr>
        <w:t xml:space="preserve">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proofErr w:type="spellStart"/>
      <w:r w:rsidR="003C79AA">
        <w:rPr>
          <w:rFonts w:ascii="Arial" w:hAnsi="Arial" w:cs="Arial"/>
          <w:b/>
          <w:bCs/>
        </w:rPr>
        <w:t>Одржавање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сервисирање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еталонирање</w:t>
      </w:r>
      <w:proofErr w:type="spellEnd"/>
      <w:r w:rsidR="003C79AA">
        <w:rPr>
          <w:rFonts w:ascii="Arial" w:hAnsi="Arial" w:cs="Arial"/>
          <w:b/>
          <w:bCs/>
        </w:rPr>
        <w:t xml:space="preserve"> / </w:t>
      </w:r>
      <w:proofErr w:type="spellStart"/>
      <w:r w:rsidR="003C79AA">
        <w:rPr>
          <w:rFonts w:ascii="Arial" w:hAnsi="Arial" w:cs="Arial"/>
          <w:b/>
          <w:bCs/>
        </w:rPr>
        <w:t>резервни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делови</w:t>
      </w:r>
      <w:proofErr w:type="spellEnd"/>
      <w:r w:rsidR="003C79AA">
        <w:rPr>
          <w:rFonts w:ascii="Arial" w:hAnsi="Arial" w:cs="Arial"/>
          <w:b/>
          <w:bCs/>
        </w:rPr>
        <w:t xml:space="preserve"> - </w:t>
      </w:r>
      <w:proofErr w:type="spellStart"/>
      <w:r w:rsidR="003C79AA">
        <w:rPr>
          <w:rFonts w:ascii="Arial" w:hAnsi="Arial" w:cs="Arial"/>
          <w:b/>
          <w:bCs/>
        </w:rPr>
        <w:t>медицинска</w:t>
      </w:r>
      <w:proofErr w:type="spellEnd"/>
      <w:r w:rsidR="003C79AA">
        <w:rPr>
          <w:rFonts w:ascii="Arial" w:hAnsi="Arial" w:cs="Arial"/>
          <w:b/>
          <w:bCs/>
        </w:rPr>
        <w:t xml:space="preserve"> и </w:t>
      </w:r>
      <w:proofErr w:type="spellStart"/>
      <w:r w:rsidR="003C79AA">
        <w:rPr>
          <w:rFonts w:ascii="Arial" w:hAnsi="Arial" w:cs="Arial"/>
          <w:b/>
          <w:bCs/>
        </w:rPr>
        <w:t>лабораторијска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опрема</w:t>
      </w:r>
      <w:proofErr w:type="spellEnd"/>
      <w:r w:rsidR="003C79AA">
        <w:rPr>
          <w:rFonts w:ascii="Arial" w:hAnsi="Arial" w:cs="Arial"/>
          <w:b/>
          <w:bCs/>
        </w:rPr>
        <w:t xml:space="preserve">  - </w:t>
      </w:r>
      <w:proofErr w:type="spellStart"/>
      <w:r w:rsidR="003C79AA">
        <w:rPr>
          <w:rFonts w:ascii="Arial" w:hAnsi="Arial" w:cs="Arial"/>
          <w:b/>
          <w:bCs/>
        </w:rPr>
        <w:t>еталонирање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калибрација</w:t>
      </w:r>
      <w:proofErr w:type="spellEnd"/>
      <w:r w:rsidR="003C79AA">
        <w:rPr>
          <w:rFonts w:ascii="Arial" w:hAnsi="Arial" w:cs="Arial"/>
          <w:b/>
          <w:bCs/>
        </w:rPr>
        <w:t>/</w:t>
      </w:r>
      <w:proofErr w:type="spellStart"/>
      <w:r w:rsidR="003C79AA">
        <w:rPr>
          <w:rFonts w:ascii="Arial" w:hAnsi="Arial" w:cs="Arial"/>
          <w:b/>
          <w:bCs/>
        </w:rPr>
        <w:t>верификација</w:t>
      </w:r>
      <w:proofErr w:type="spellEnd"/>
      <w:r w:rsidR="003C79AA">
        <w:rPr>
          <w:rFonts w:ascii="Arial" w:hAnsi="Arial" w:cs="Arial"/>
          <w:b/>
          <w:bCs/>
        </w:rPr>
        <w:t xml:space="preserve"> </w:t>
      </w:r>
      <w:proofErr w:type="spellStart"/>
      <w:r w:rsidR="003C79AA">
        <w:rPr>
          <w:rFonts w:ascii="Arial" w:hAnsi="Arial" w:cs="Arial"/>
          <w:b/>
          <w:bCs/>
        </w:rPr>
        <w:t>опреме</w:t>
      </w:r>
      <w:proofErr w:type="spellEnd"/>
      <w:r w:rsidR="003C79AA">
        <w:rPr>
          <w:rFonts w:ascii="Arial" w:hAnsi="Arial" w:cs="Arial"/>
          <w:b/>
          <w:bCs/>
          <w:lang w:val="sr-Cyrl-RS"/>
        </w:rPr>
        <w:t xml:space="preserve">, </w:t>
      </w:r>
      <w:r w:rsidR="003C79AA">
        <w:rPr>
          <w:rFonts w:ascii="Arial" w:hAnsi="Arial" w:cs="Arial"/>
          <w:b/>
          <w:bCs/>
        </w:rPr>
        <w:t xml:space="preserve">ЈН БР. </w:t>
      </w:r>
      <w:proofErr w:type="gramStart"/>
      <w:r w:rsidR="003C79AA">
        <w:rPr>
          <w:rFonts w:ascii="Arial" w:hAnsi="Arial" w:cs="Arial"/>
          <w:b/>
          <w:bCs/>
        </w:rPr>
        <w:t>ВНР 30-II-27/15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>а 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 xml:space="preserve">а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CA673F" w:rsidRPr="0003493F" w:rsidRDefault="00CA673F" w:rsidP="00E074C2">
      <w:pPr>
        <w:spacing w:after="0" w:line="240" w:lineRule="auto"/>
        <w:jc w:val="both"/>
        <w:rPr>
          <w:rFonts w:ascii="Arial" w:hAnsi="Arial" w:cs="Arial"/>
          <w:b/>
          <w:i/>
          <w:iCs/>
          <w:sz w:val="16"/>
          <w:szCs w:val="16"/>
          <w:lang w:val="sr-Cyrl-RS"/>
        </w:rPr>
      </w:pPr>
    </w:p>
    <w:p w:rsidR="00E074C2" w:rsidRDefault="00E074C2" w:rsidP="00E074C2">
      <w:pPr>
        <w:spacing w:after="0" w:line="240" w:lineRule="auto"/>
        <w:rPr>
          <w:rFonts w:ascii="Arial" w:hAnsi="Arial" w:cs="Arial"/>
          <w:b/>
          <w:noProof/>
          <w:u w:val="single"/>
          <w:lang w:val="sr-Cyrl-RS"/>
        </w:rPr>
      </w:pPr>
      <w:r w:rsidRPr="00E074C2">
        <w:rPr>
          <w:rFonts w:ascii="Arial" w:hAnsi="Arial" w:cs="Arial"/>
          <w:b/>
          <w:noProof/>
          <w:u w:val="single"/>
          <w:lang w:val="sr-Cyrl-RS"/>
        </w:rPr>
        <w:t>Питања:</w:t>
      </w:r>
    </w:p>
    <w:p w:rsidR="00CA673F" w:rsidRPr="00E074C2" w:rsidRDefault="00CA673F" w:rsidP="00E074C2">
      <w:pPr>
        <w:spacing w:after="0" w:line="240" w:lineRule="auto"/>
        <w:rPr>
          <w:rFonts w:ascii="Arial" w:hAnsi="Arial" w:cs="Arial"/>
          <w:b/>
          <w:noProof/>
          <w:u w:val="single"/>
          <w:lang w:val="sr-Cyrl-RS"/>
        </w:rPr>
      </w:pPr>
    </w:p>
    <w:p w:rsidR="00F91D2F" w:rsidRPr="00F91D2F" w:rsidRDefault="00F91D2F" w:rsidP="00F91D2F">
      <w:pPr>
        <w:pStyle w:val="ListParagraph"/>
        <w:numPr>
          <w:ilvl w:val="0"/>
          <w:numId w:val="23"/>
        </w:numPr>
        <w:spacing w:after="0" w:line="240" w:lineRule="auto"/>
        <w:ind w:left="284" w:right="-142" w:hanging="284"/>
        <w:jc w:val="both"/>
        <w:rPr>
          <w:rFonts w:ascii="Arial" w:eastAsiaTheme="minorHAnsi" w:hAnsi="Arial" w:cs="Arial"/>
          <w:noProof/>
          <w:lang w:val="sr-Cyrl-CS"/>
        </w:rPr>
      </w:pPr>
      <w:r w:rsidRPr="00F91D2F">
        <w:rPr>
          <w:rFonts w:ascii="Arial" w:eastAsiaTheme="minorHAnsi" w:hAnsi="Arial" w:cs="Arial"/>
          <w:noProof/>
          <w:lang w:val="sr-Cyrl-CS"/>
        </w:rPr>
        <w:t xml:space="preserve">На страни 59. тендерске документације на којој се наводе обавезни услови за </w:t>
      </w:r>
      <w:r>
        <w:rPr>
          <w:rFonts w:ascii="Arial" w:eastAsiaTheme="minorHAnsi" w:hAnsi="Arial" w:cs="Arial"/>
          <w:noProof/>
          <w:lang w:val="sr-Cyrl-CS"/>
        </w:rPr>
        <w:t>учеш</w:t>
      </w:r>
      <w:r>
        <w:rPr>
          <w:rFonts w:ascii="Arial" w:eastAsiaTheme="minorHAnsi" w:hAnsi="Arial" w:cs="Arial"/>
          <w:noProof/>
          <w:lang w:val="sr-Cyrl-RS"/>
        </w:rPr>
        <w:t>ћ</w:t>
      </w:r>
      <w:r w:rsidRPr="00F91D2F">
        <w:rPr>
          <w:rFonts w:ascii="Arial" w:eastAsiaTheme="minorHAnsi" w:hAnsi="Arial" w:cs="Arial"/>
          <w:noProof/>
          <w:lang w:val="sr-Cyrl-CS"/>
        </w:rPr>
        <w:t>е у</w:t>
      </w:r>
    </w:p>
    <w:p w:rsidR="00F91D2F" w:rsidRPr="00F91D2F" w:rsidRDefault="00F91D2F" w:rsidP="00F91D2F">
      <w:pPr>
        <w:spacing w:after="0" w:line="240" w:lineRule="auto"/>
        <w:ind w:left="426" w:right="-142" w:hanging="142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потупку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јавне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набавке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под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тачком</w:t>
      </w:r>
      <w:r w:rsidRPr="00F91D2F">
        <w:rPr>
          <w:rFonts w:ascii="Arial" w:eastAsiaTheme="minorHAnsi" w:hAnsi="Arial" w:cs="Arial"/>
          <w:noProof/>
          <w:lang w:val="sr-Cyrl-CS"/>
        </w:rPr>
        <w:t xml:space="preserve"> 5. </w:t>
      </w:r>
      <w:r>
        <w:rPr>
          <w:rFonts w:ascii="Arial" w:eastAsiaTheme="minorHAnsi" w:hAnsi="Arial" w:cs="Arial"/>
          <w:noProof/>
          <w:lang w:val="sr-Cyrl-CS"/>
        </w:rPr>
        <w:t>наводи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понуђач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треба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поседује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дозволу</w:t>
      </w:r>
    </w:p>
    <w:p w:rsidR="00F91D2F" w:rsidRPr="00F91D2F" w:rsidRDefault="00F91D2F" w:rsidP="00F91D2F">
      <w:pPr>
        <w:spacing w:after="0" w:line="240" w:lineRule="auto"/>
        <w:ind w:left="284" w:right="-142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или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решење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сл</w:t>
      </w:r>
      <w:r w:rsidRPr="00F91D2F">
        <w:rPr>
          <w:rFonts w:ascii="Arial" w:eastAsiaTheme="minorHAnsi" w:hAnsi="Arial" w:cs="Arial"/>
          <w:noProof/>
          <w:lang w:val="sr-Cyrl-CS"/>
        </w:rPr>
        <w:t xml:space="preserve">. </w:t>
      </w:r>
      <w:r>
        <w:rPr>
          <w:rFonts w:ascii="Arial" w:eastAsiaTheme="minorHAnsi" w:hAnsi="Arial" w:cs="Arial"/>
          <w:noProof/>
          <w:lang w:val="sr-Cyrl-CS"/>
        </w:rPr>
        <w:t>надлежног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органа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обављање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делатности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предмет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јавне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набавке</w:t>
      </w:r>
      <w:r w:rsidRPr="00F91D2F">
        <w:rPr>
          <w:rFonts w:ascii="Arial" w:eastAsiaTheme="minorHAnsi" w:hAnsi="Arial" w:cs="Arial"/>
          <w:noProof/>
          <w:lang w:val="sr-Cyrl-CS"/>
        </w:rPr>
        <w:t>.</w:t>
      </w:r>
    </w:p>
    <w:p w:rsidR="00F91D2F" w:rsidRPr="00F91D2F" w:rsidRDefault="00F91D2F" w:rsidP="00F91D2F">
      <w:pPr>
        <w:spacing w:after="0" w:line="240" w:lineRule="auto"/>
        <w:ind w:left="426" w:right="-142" w:hanging="142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На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стр</w:t>
      </w:r>
      <w:r w:rsidRPr="00F91D2F">
        <w:rPr>
          <w:rFonts w:ascii="Arial" w:eastAsiaTheme="minorHAnsi" w:hAnsi="Arial" w:cs="Arial"/>
          <w:noProof/>
          <w:lang w:val="sr-Cyrl-CS"/>
        </w:rPr>
        <w:t xml:space="preserve">. 59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одељку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објашњава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начин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доказује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испуњеност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обавезних</w:t>
      </w:r>
    </w:p>
    <w:p w:rsidR="00F91D2F" w:rsidRPr="00F91D2F" w:rsidRDefault="00F91D2F" w:rsidP="00F91D2F">
      <w:pPr>
        <w:spacing w:after="0" w:line="240" w:lineRule="auto"/>
        <w:ind w:left="426" w:right="-142" w:hanging="142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услова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наводите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понуђач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треба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достави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акт</w:t>
      </w:r>
      <w:r w:rsidRPr="00F91D2F">
        <w:rPr>
          <w:rFonts w:ascii="Arial" w:eastAsiaTheme="minorHAnsi" w:hAnsi="Arial" w:cs="Arial"/>
          <w:noProof/>
          <w:lang w:val="sr-Cyrl-CS"/>
        </w:rPr>
        <w:t xml:space="preserve"> (</w:t>
      </w:r>
      <w:r>
        <w:rPr>
          <w:rFonts w:ascii="Arial" w:eastAsiaTheme="minorHAnsi" w:hAnsi="Arial" w:cs="Arial"/>
          <w:noProof/>
          <w:lang w:val="sr-Cyrl-CS"/>
        </w:rPr>
        <w:t>дозволу</w:t>
      </w:r>
      <w:r w:rsidRPr="00F91D2F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решење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сл</w:t>
      </w:r>
      <w:r w:rsidRPr="00F91D2F">
        <w:rPr>
          <w:rFonts w:ascii="Arial" w:eastAsiaTheme="minorHAnsi" w:hAnsi="Arial" w:cs="Arial"/>
          <w:noProof/>
          <w:lang w:val="sr-Cyrl-CS"/>
        </w:rPr>
        <w:t xml:space="preserve">.) </w:t>
      </w:r>
      <w:r>
        <w:rPr>
          <w:rFonts w:ascii="Arial" w:eastAsiaTheme="minorHAnsi" w:hAnsi="Arial" w:cs="Arial"/>
          <w:noProof/>
          <w:lang w:val="sr-Cyrl-CS"/>
        </w:rPr>
        <w:t>надлежног</w:t>
      </w:r>
    </w:p>
    <w:p w:rsidR="00F91D2F" w:rsidRPr="00F91D2F" w:rsidRDefault="00F91D2F" w:rsidP="00F91D2F">
      <w:pPr>
        <w:spacing w:after="0" w:line="240" w:lineRule="auto"/>
        <w:ind w:left="426" w:right="-142" w:hanging="142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министарства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испуњености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услова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вршење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предметних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испитивања</w:t>
      </w:r>
      <w:r w:rsidRPr="00F91D2F">
        <w:rPr>
          <w:rFonts w:ascii="Arial" w:eastAsiaTheme="minorHAnsi" w:hAnsi="Arial" w:cs="Arial"/>
          <w:noProof/>
          <w:lang w:val="sr-Cyrl-CS"/>
        </w:rPr>
        <w:t>.</w:t>
      </w:r>
    </w:p>
    <w:p w:rsidR="00F91D2F" w:rsidRPr="00F91D2F" w:rsidRDefault="00F91D2F" w:rsidP="00F91D2F">
      <w:pPr>
        <w:spacing w:after="0" w:line="240" w:lineRule="auto"/>
        <w:ind w:left="426" w:right="-142" w:hanging="142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С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обзиром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није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јасно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коју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врсту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дозволе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тацно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мисли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надлежно</w:t>
      </w:r>
    </w:p>
    <w:p w:rsidR="00F91D2F" w:rsidRPr="00F91D2F" w:rsidRDefault="00F91D2F" w:rsidP="00F91D2F">
      <w:pPr>
        <w:spacing w:after="0" w:line="240" w:lineRule="auto"/>
        <w:ind w:left="426" w:right="-142" w:hanging="142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министарство</w:t>
      </w:r>
      <w:r w:rsidRPr="00F91D2F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молимо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Вас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прецизније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дефинишете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овај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захтев</w:t>
      </w:r>
      <w:r w:rsidRPr="00F91D2F">
        <w:rPr>
          <w:rFonts w:ascii="Arial" w:eastAsiaTheme="minorHAnsi" w:hAnsi="Arial" w:cs="Arial"/>
          <w:noProof/>
          <w:lang w:val="sr-Cyrl-CS"/>
        </w:rPr>
        <w:t>.</w:t>
      </w:r>
    </w:p>
    <w:p w:rsidR="00F91D2F" w:rsidRDefault="00F91D2F" w:rsidP="00F91D2F">
      <w:pPr>
        <w:spacing w:after="0" w:line="240" w:lineRule="auto"/>
        <w:ind w:left="284" w:right="-142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Уколико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делатност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подлеже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било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којој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врсти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дозволе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ли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довољно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доставити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изјаву понуђача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непостојању</w:t>
      </w:r>
      <w:r w:rsidRPr="00F91D2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дозволе</w:t>
      </w:r>
      <w:r w:rsidRPr="00F91D2F">
        <w:rPr>
          <w:rFonts w:ascii="Arial" w:eastAsiaTheme="minorHAnsi" w:hAnsi="Arial" w:cs="Arial"/>
          <w:noProof/>
          <w:lang w:val="sr-Cyrl-CS"/>
        </w:rPr>
        <w:t>?</w:t>
      </w:r>
    </w:p>
    <w:p w:rsidR="00F91D2F" w:rsidRDefault="00F91D2F" w:rsidP="00F91D2F">
      <w:pPr>
        <w:spacing w:after="0" w:line="240" w:lineRule="auto"/>
        <w:ind w:left="284" w:right="-142" w:hanging="284"/>
        <w:jc w:val="both"/>
        <w:rPr>
          <w:rFonts w:ascii="Arial" w:eastAsiaTheme="minorHAnsi" w:hAnsi="Arial" w:cs="Arial"/>
          <w:noProof/>
          <w:lang w:val="sr-Cyrl-CS"/>
        </w:rPr>
      </w:pPr>
    </w:p>
    <w:p w:rsidR="00F91D2F" w:rsidRPr="00CA673F" w:rsidRDefault="00CA673F" w:rsidP="00F91D2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Молим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вас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додатно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објасњење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питању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попуњавања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таблице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конкструкцијом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цена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понуђене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резервне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делове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услуге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(</w:t>
      </w:r>
      <w:r>
        <w:rPr>
          <w:rFonts w:ascii="Arial" w:eastAsiaTheme="minorHAnsi" w:hAnsi="Arial" w:cs="Arial"/>
          <w:noProof/>
          <w:lang w:val="sr-Cyrl-CS"/>
        </w:rPr>
        <w:t>страна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232 </w:t>
      </w:r>
      <w:r>
        <w:rPr>
          <w:rFonts w:ascii="Arial" w:eastAsiaTheme="minorHAnsi" w:hAnsi="Arial" w:cs="Arial"/>
          <w:noProof/>
          <w:lang w:val="sr-Cyrl-CS"/>
        </w:rPr>
        <w:t>конкурсне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документације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). </w:t>
      </w:r>
      <w:r>
        <w:rPr>
          <w:rFonts w:ascii="Arial" w:eastAsiaTheme="minorHAnsi" w:hAnsi="Arial" w:cs="Arial"/>
          <w:noProof/>
          <w:lang w:val="sr-Cyrl-CS"/>
        </w:rPr>
        <w:t>Наиме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колони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“</w:t>
      </w:r>
      <w:r>
        <w:rPr>
          <w:rFonts w:ascii="Arial" w:eastAsiaTheme="minorHAnsi" w:hAnsi="Arial" w:cs="Arial"/>
          <w:noProof/>
          <w:lang w:val="sr-Cyrl-CS"/>
        </w:rPr>
        <w:t>количина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“ </w:t>
      </w:r>
      <w:r>
        <w:rPr>
          <w:rFonts w:ascii="Arial" w:eastAsiaTheme="minorHAnsi" w:hAnsi="Arial" w:cs="Arial"/>
          <w:noProof/>
          <w:lang w:val="sr-Cyrl-CS"/>
        </w:rPr>
        <w:t>наведен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број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„1“ </w:t>
      </w:r>
      <w:r>
        <w:rPr>
          <w:rFonts w:ascii="Arial" w:eastAsiaTheme="minorHAnsi" w:hAnsi="Arial" w:cs="Arial"/>
          <w:noProof/>
          <w:lang w:val="sr-Cyrl-CS"/>
        </w:rPr>
        <w:t>за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потрошни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материјал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резервне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делове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. </w:t>
      </w:r>
      <w:r>
        <w:rPr>
          <w:rFonts w:ascii="Arial" w:eastAsiaTheme="minorHAnsi" w:hAnsi="Arial" w:cs="Arial"/>
          <w:noProof/>
          <w:lang w:val="sr-Cyrl-CS"/>
        </w:rPr>
        <w:t>Обзиром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успешну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репарацију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одржавање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ваша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четири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 w:rsidR="00F91D2F" w:rsidRPr="00CA673F">
        <w:rPr>
          <w:rFonts w:ascii="Arial" w:eastAsiaTheme="minorHAnsi" w:hAnsi="Arial" w:cs="Arial"/>
          <w:noProof/>
          <w:lang w:val="sr-Latn-CS"/>
        </w:rPr>
        <w:t>Y</w:t>
      </w:r>
      <w:r>
        <w:rPr>
          <w:rFonts w:ascii="Arial" w:eastAsiaTheme="minorHAnsi" w:hAnsi="Arial" w:cs="Arial"/>
          <w:noProof/>
          <w:lang w:val="sr-Latn-CS"/>
        </w:rPr>
        <w:t>SI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аппарата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потребно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исто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толико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сетова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резервних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делова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да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ли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то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значи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захтевана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цена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само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информативног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карактера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? </w:t>
      </w:r>
      <w:r>
        <w:rPr>
          <w:rFonts w:ascii="Arial" w:eastAsiaTheme="minorHAnsi" w:hAnsi="Arial" w:cs="Arial"/>
          <w:noProof/>
          <w:lang w:val="sr-Cyrl-CS"/>
        </w:rPr>
        <w:t>Ово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вас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питам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због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износа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потребно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ставити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предлог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уговора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који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обавезни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део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тендерске</w:t>
      </w:r>
      <w:r w:rsidR="00F91D2F"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документације</w:t>
      </w:r>
      <w:r w:rsidR="00F91D2F" w:rsidRPr="00CA673F">
        <w:rPr>
          <w:rFonts w:ascii="Arial" w:eastAsiaTheme="minorHAnsi" w:hAnsi="Arial" w:cs="Arial"/>
          <w:noProof/>
          <w:lang w:val="sr-Cyrl-CS"/>
        </w:rPr>
        <w:t>!</w:t>
      </w:r>
    </w:p>
    <w:p w:rsidR="00F91D2F" w:rsidRDefault="00F91D2F" w:rsidP="00F91D2F">
      <w:pPr>
        <w:spacing w:after="0" w:line="240" w:lineRule="auto"/>
        <w:ind w:left="284" w:hanging="284"/>
        <w:jc w:val="both"/>
        <w:rPr>
          <w:rFonts w:ascii="Arial" w:eastAsiaTheme="minorHAnsi" w:hAnsi="Arial" w:cs="Arial"/>
          <w:noProof/>
          <w:lang w:val="sr-Cyrl-CS"/>
        </w:rPr>
      </w:pPr>
    </w:p>
    <w:p w:rsidR="00CA673F" w:rsidRPr="00CA673F" w:rsidRDefault="00CA673F" w:rsidP="00CA673F">
      <w:pPr>
        <w:pStyle w:val="ListParagraph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Arial" w:eastAsiaTheme="minorHAnsi" w:hAnsi="Arial" w:cs="Arial"/>
          <w:noProof/>
          <w:lang w:val="sr-Cyrl-CS"/>
        </w:rPr>
      </w:pPr>
      <w:r>
        <w:rPr>
          <w:rFonts w:ascii="Arial" w:eastAsiaTheme="minorHAnsi" w:hAnsi="Arial" w:cs="Arial"/>
          <w:noProof/>
          <w:lang w:val="sr-Cyrl-CS"/>
        </w:rPr>
        <w:t>Молим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за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појашњење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вези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партије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бр</w:t>
      </w:r>
      <w:r w:rsidRPr="00CA673F">
        <w:rPr>
          <w:rFonts w:ascii="Arial" w:eastAsiaTheme="minorHAnsi" w:hAnsi="Arial" w:cs="Arial"/>
          <w:noProof/>
          <w:lang w:val="sr-Cyrl-CS"/>
        </w:rPr>
        <w:t>.</w:t>
      </w:r>
      <w:r w:rsidR="00317176">
        <w:rPr>
          <w:rFonts w:ascii="Arial" w:eastAsiaTheme="minorHAnsi" w:hAnsi="Arial" w:cs="Arial"/>
          <w:noProof/>
          <w:lang w:val="sr-Cyrl-CS"/>
        </w:rPr>
        <w:t xml:space="preserve"> </w:t>
      </w:r>
      <w:r w:rsidRPr="00CA673F">
        <w:rPr>
          <w:rFonts w:ascii="Arial" w:eastAsiaTheme="minorHAnsi" w:hAnsi="Arial" w:cs="Arial"/>
          <w:noProof/>
          <w:lang w:val="sr-Cyrl-CS"/>
        </w:rPr>
        <w:t xml:space="preserve">30: </w:t>
      </w:r>
      <w:r>
        <w:rPr>
          <w:rFonts w:ascii="Arial" w:eastAsiaTheme="minorHAnsi" w:hAnsi="Arial" w:cs="Arial"/>
          <w:noProof/>
          <w:lang w:val="sr-Cyrl-CS"/>
        </w:rPr>
        <w:t>колики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број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превентивних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сервиса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током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године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предвиђено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да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се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обави</w:t>
      </w:r>
      <w:r w:rsidRPr="00CA673F">
        <w:rPr>
          <w:rFonts w:ascii="Arial" w:eastAsiaTheme="minorHAnsi" w:hAnsi="Arial" w:cs="Arial"/>
          <w:noProof/>
          <w:lang w:val="sr-Cyrl-CS"/>
        </w:rPr>
        <w:t xml:space="preserve">? </w:t>
      </w:r>
      <w:r>
        <w:rPr>
          <w:rFonts w:ascii="Arial" w:eastAsiaTheme="minorHAnsi" w:hAnsi="Arial" w:cs="Arial"/>
          <w:noProof/>
          <w:lang w:val="sr-Cyrl-CS"/>
        </w:rPr>
        <w:t>Наиме</w:t>
      </w:r>
      <w:r w:rsidRPr="00CA673F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то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је</w:t>
      </w:r>
      <w:r w:rsidRPr="00CA673F">
        <w:rPr>
          <w:rFonts w:ascii="Arial" w:eastAsiaTheme="minorHAnsi" w:hAnsi="Arial" w:cs="Arial"/>
          <w:noProof/>
          <w:lang w:val="sr-Cyrl-CS"/>
        </w:rPr>
        <w:t xml:space="preserve"> у</w:t>
      </w:r>
      <w:r>
        <w:rPr>
          <w:rFonts w:ascii="Arial" w:eastAsiaTheme="minorHAnsi" w:hAnsi="Arial" w:cs="Arial"/>
          <w:noProof/>
          <w:lang w:val="sr-Cyrl-CS"/>
        </w:rPr>
        <w:t>век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било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транспарентно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дефинисано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ранијим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јавним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набавкама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и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уговору</w:t>
      </w:r>
      <w:r w:rsidRPr="00CA673F">
        <w:rPr>
          <w:rFonts w:ascii="Arial" w:eastAsiaTheme="minorHAnsi" w:hAnsi="Arial" w:cs="Arial"/>
          <w:noProof/>
          <w:lang w:val="sr-Cyrl-CS"/>
        </w:rPr>
        <w:t xml:space="preserve"> (</w:t>
      </w:r>
      <w:r>
        <w:rPr>
          <w:rFonts w:ascii="Arial" w:eastAsiaTheme="minorHAnsi" w:hAnsi="Arial" w:cs="Arial"/>
          <w:noProof/>
          <w:lang w:val="sr-Cyrl-CS"/>
        </w:rPr>
        <w:t>двомесечно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одржавање</w:t>
      </w:r>
      <w:r w:rsidRPr="00CA673F">
        <w:rPr>
          <w:rFonts w:ascii="Arial" w:eastAsiaTheme="minorHAnsi" w:hAnsi="Arial" w:cs="Arial"/>
          <w:noProof/>
          <w:lang w:val="sr-Cyrl-CS"/>
        </w:rPr>
        <w:t xml:space="preserve">, </w:t>
      </w:r>
      <w:r>
        <w:rPr>
          <w:rFonts w:ascii="Arial" w:eastAsiaTheme="minorHAnsi" w:hAnsi="Arial" w:cs="Arial"/>
          <w:noProof/>
          <w:lang w:val="sr-Cyrl-CS"/>
        </w:rPr>
        <w:t>тј</w:t>
      </w:r>
      <w:r w:rsidRPr="00CA673F">
        <w:rPr>
          <w:rFonts w:ascii="Arial" w:eastAsiaTheme="minorHAnsi" w:hAnsi="Arial" w:cs="Arial"/>
          <w:noProof/>
          <w:lang w:val="sr-Cyrl-CS"/>
        </w:rPr>
        <w:t xml:space="preserve">. 6 </w:t>
      </w:r>
      <w:r>
        <w:rPr>
          <w:rFonts w:ascii="Arial" w:eastAsiaTheme="minorHAnsi" w:hAnsi="Arial" w:cs="Arial"/>
          <w:noProof/>
          <w:lang w:val="sr-Cyrl-CS"/>
        </w:rPr>
        <w:t>пута</w:t>
      </w:r>
      <w:r w:rsidRPr="00CA673F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годишње</w:t>
      </w:r>
      <w:r w:rsidRPr="00CA673F">
        <w:rPr>
          <w:rFonts w:ascii="Arial" w:eastAsiaTheme="minorHAnsi" w:hAnsi="Arial" w:cs="Arial"/>
          <w:noProof/>
          <w:lang w:val="sr-Cyrl-CS"/>
        </w:rPr>
        <w:t>).</w:t>
      </w:r>
    </w:p>
    <w:p w:rsidR="00F91D2F" w:rsidRPr="00CA673F" w:rsidRDefault="00F91D2F" w:rsidP="00CA673F">
      <w:pPr>
        <w:spacing w:after="0" w:line="240" w:lineRule="auto"/>
        <w:jc w:val="both"/>
        <w:rPr>
          <w:rFonts w:ascii="Arial" w:eastAsiaTheme="minorHAnsi" w:hAnsi="Arial" w:cs="Arial"/>
          <w:noProof/>
          <w:lang w:val="sr-Cyrl-CS"/>
        </w:rPr>
      </w:pPr>
    </w:p>
    <w:p w:rsidR="00F91D2F" w:rsidRDefault="00F91D2F" w:rsidP="00E074C2">
      <w:pPr>
        <w:spacing w:after="0" w:line="240" w:lineRule="auto"/>
        <w:rPr>
          <w:rFonts w:ascii="Arial" w:eastAsiaTheme="minorHAnsi" w:hAnsi="Arial" w:cs="Arial"/>
          <w:noProof/>
          <w:lang w:val="sr-Cyrl-RS"/>
        </w:rPr>
      </w:pP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noProof/>
          <w:lang w:val="sr-Cyrl-RS"/>
        </w:rPr>
      </w:pP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noProof/>
          <w:lang w:val="sr-Cyrl-RS"/>
        </w:rPr>
      </w:pP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noProof/>
          <w:lang w:val="sr-Cyrl-RS"/>
        </w:rPr>
      </w:pP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noProof/>
          <w:lang w:val="sr-Cyrl-RS"/>
        </w:rPr>
      </w:pP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noProof/>
          <w:lang w:val="sr-Cyrl-RS"/>
        </w:rPr>
      </w:pP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noProof/>
          <w:lang w:val="sr-Cyrl-RS"/>
        </w:rPr>
      </w:pP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noProof/>
          <w:lang w:val="sr-Cyrl-RS"/>
        </w:rPr>
      </w:pPr>
    </w:p>
    <w:p w:rsidR="00CA673F" w:rsidRPr="00CA673F" w:rsidRDefault="00CA673F" w:rsidP="00CA673F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Theme="minorHAnsi" w:hAnsi="Arial" w:cs="Arial"/>
          <w:noProof/>
          <w:lang w:val="sr-Cyrl-RS"/>
        </w:rPr>
      </w:pPr>
    </w:p>
    <w:p w:rsidR="00F91D2F" w:rsidRDefault="00CA673F" w:rsidP="00E074C2">
      <w:pPr>
        <w:spacing w:after="0" w:line="240" w:lineRule="auto"/>
        <w:rPr>
          <w:rFonts w:ascii="Arial" w:eastAsiaTheme="minorHAnsi" w:hAnsi="Arial" w:cs="Arial"/>
          <w:noProof/>
          <w:lang w:val="sr-Latn-RS"/>
        </w:rPr>
      </w:pPr>
      <w:r>
        <w:rPr>
          <w:rFonts w:ascii="Arial" w:eastAsiaTheme="minorHAnsi" w:hAnsi="Arial" w:cs="Arial"/>
          <w:noProof/>
        </w:rPr>
        <w:drawing>
          <wp:inline distT="0" distB="0" distL="0" distR="0">
            <wp:extent cx="6210935" cy="45410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54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2F" w:rsidRPr="00CA673F" w:rsidRDefault="00F91D2F" w:rsidP="00E074C2">
      <w:pPr>
        <w:spacing w:after="0" w:line="240" w:lineRule="auto"/>
        <w:rPr>
          <w:rFonts w:ascii="Arial" w:eastAsiaTheme="minorHAnsi" w:hAnsi="Arial" w:cs="Arial"/>
          <w:noProof/>
          <w:lang w:val="sr-Cyrl-RS"/>
        </w:rPr>
      </w:pPr>
    </w:p>
    <w:p w:rsidR="00F91D2F" w:rsidRDefault="00F91D2F" w:rsidP="00E074C2">
      <w:pPr>
        <w:spacing w:after="0" w:line="240" w:lineRule="auto"/>
        <w:rPr>
          <w:rFonts w:ascii="Arial" w:eastAsiaTheme="minorHAnsi" w:hAnsi="Arial" w:cs="Arial"/>
          <w:noProof/>
          <w:lang w:val="sr-Latn-RS"/>
        </w:rPr>
      </w:pPr>
    </w:p>
    <w:p w:rsidR="00E074C2" w:rsidRDefault="00E074C2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  <w:r w:rsidRPr="00A80E18">
        <w:rPr>
          <w:rFonts w:ascii="Arial" w:eastAsiaTheme="minorHAnsi" w:hAnsi="Arial" w:cs="Arial"/>
          <w:b/>
          <w:u w:val="single"/>
          <w:lang w:val="sr-Cyrl-RS"/>
        </w:rPr>
        <w:t>Одговори</w:t>
      </w:r>
      <w:r w:rsidRPr="00A80E18">
        <w:rPr>
          <w:rFonts w:ascii="Arial" w:eastAsiaTheme="minorHAnsi" w:hAnsi="Arial" w:cs="Arial"/>
        </w:rPr>
        <w:t>:</w:t>
      </w: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</w:p>
    <w:p w:rsidR="00CA673F" w:rsidRPr="00D02FB2" w:rsidRDefault="00317176" w:rsidP="00D02FB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lang w:val="sr-Cyrl-RS"/>
        </w:rPr>
        <w:t>Техничком омашком наведен је обавезни услов из члана 75. став 1. тачка 5), односно исти није предвиђен за услугу која је предмет јавне набавке. Исправка ће бити извршена у оквиру Измене конкурсне документације која ће се благовремено објавити на Порталу јавних набавки и интернет страници Наручиоца, као и обавештење о продужењу рока за подношење понуда</w:t>
      </w:r>
      <w:r w:rsidR="00D02FB2">
        <w:rPr>
          <w:rFonts w:ascii="Arial" w:eastAsiaTheme="minorHAnsi" w:hAnsi="Arial" w:cs="Arial"/>
          <w:lang w:val="sr-Cyrl-RS"/>
        </w:rPr>
        <w:t>.</w:t>
      </w:r>
    </w:p>
    <w:p w:rsidR="00D02FB2" w:rsidRPr="00317176" w:rsidRDefault="00D02FB2" w:rsidP="00D02FB2">
      <w:pPr>
        <w:pStyle w:val="ListParagraph"/>
        <w:spacing w:after="0" w:line="240" w:lineRule="auto"/>
        <w:jc w:val="both"/>
        <w:rPr>
          <w:rFonts w:ascii="Arial" w:eastAsiaTheme="minorHAnsi" w:hAnsi="Arial" w:cs="Arial"/>
        </w:rPr>
      </w:pPr>
    </w:p>
    <w:p w:rsidR="00317176" w:rsidRPr="00D02FB2" w:rsidRDefault="00317176" w:rsidP="00D02FB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lang w:val="sr-Cyrl-RS"/>
        </w:rPr>
        <w:t>Количине наведене у обрасцима су оквирне и служе само за припремање понуда, а стварне количине ће се реализовати по стварним потребама Наручиоца, а понуђеним јединичним ценама, као што је и наведено у самој Конкурсној документацији.</w:t>
      </w:r>
    </w:p>
    <w:p w:rsidR="00D02FB2" w:rsidRPr="00D02FB2" w:rsidRDefault="00D02FB2" w:rsidP="00D02FB2">
      <w:pPr>
        <w:pStyle w:val="ListParagraph"/>
        <w:rPr>
          <w:rFonts w:ascii="Arial" w:eastAsiaTheme="minorHAnsi" w:hAnsi="Arial" w:cs="Arial"/>
        </w:rPr>
      </w:pPr>
    </w:p>
    <w:p w:rsidR="00D02FB2" w:rsidRPr="00317176" w:rsidRDefault="00D02FB2" w:rsidP="00D02FB2">
      <w:pPr>
        <w:pStyle w:val="ListParagraph"/>
        <w:spacing w:after="0" w:line="240" w:lineRule="auto"/>
        <w:jc w:val="both"/>
        <w:rPr>
          <w:rFonts w:ascii="Arial" w:eastAsiaTheme="minorHAnsi" w:hAnsi="Arial" w:cs="Arial"/>
        </w:rPr>
      </w:pPr>
    </w:p>
    <w:p w:rsidR="00317176" w:rsidRPr="00D02FB2" w:rsidRDefault="00317176" w:rsidP="00D02FB2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lang w:val="sr-Cyrl-RS"/>
        </w:rPr>
        <w:t xml:space="preserve">Број превентивних сервиса за партију </w:t>
      </w:r>
      <w:r w:rsidR="00F1680A">
        <w:rPr>
          <w:rFonts w:ascii="Arial" w:eastAsiaTheme="minorHAnsi" w:hAnsi="Arial" w:cs="Arial"/>
          <w:lang w:val="sr-Cyrl-RS"/>
        </w:rPr>
        <w:t xml:space="preserve">бр. </w:t>
      </w:r>
      <w:r>
        <w:rPr>
          <w:rFonts w:ascii="Arial" w:eastAsiaTheme="minorHAnsi" w:hAnsi="Arial" w:cs="Arial"/>
          <w:lang w:val="sr-Cyrl-RS"/>
        </w:rPr>
        <w:t>30 је шест пута годишње (двомесечно одржавање).</w:t>
      </w:r>
      <w:r w:rsidRPr="00317176">
        <w:rPr>
          <w:rFonts w:ascii="Arial" w:eastAsiaTheme="minorHAnsi" w:hAnsi="Arial" w:cs="Arial"/>
          <w:lang w:val="sr-Cyrl-RS"/>
        </w:rPr>
        <w:t xml:space="preserve"> </w:t>
      </w:r>
      <w:r>
        <w:rPr>
          <w:rFonts w:ascii="Arial" w:eastAsiaTheme="minorHAnsi" w:hAnsi="Arial" w:cs="Arial"/>
          <w:lang w:val="sr-Cyrl-RS"/>
        </w:rPr>
        <w:t xml:space="preserve"> Исправка ће бити извршена у оквиру Измене конкурсне документације која ће се благовремено објавити на Порталу јавних набавки и интернет страници Наручиоца, као и обавештење о продужењу рока за подношење понуда</w:t>
      </w:r>
      <w:r w:rsidR="00D02FB2">
        <w:rPr>
          <w:rFonts w:ascii="Arial" w:eastAsiaTheme="minorHAnsi" w:hAnsi="Arial" w:cs="Arial"/>
          <w:lang w:val="sr-Cyrl-RS"/>
        </w:rPr>
        <w:t>.</w:t>
      </w:r>
    </w:p>
    <w:p w:rsidR="00D02FB2" w:rsidRPr="00317176" w:rsidRDefault="00D02FB2" w:rsidP="00D02FB2">
      <w:pPr>
        <w:pStyle w:val="ListParagraph"/>
        <w:spacing w:after="0" w:line="240" w:lineRule="auto"/>
        <w:jc w:val="both"/>
        <w:rPr>
          <w:rFonts w:ascii="Arial" w:eastAsiaTheme="minorHAnsi" w:hAnsi="Arial" w:cs="Arial"/>
        </w:rPr>
      </w:pPr>
      <w:bookmarkStart w:id="0" w:name="_GoBack"/>
      <w:bookmarkEnd w:id="0"/>
    </w:p>
    <w:p w:rsidR="00F1680A" w:rsidRPr="00F1680A" w:rsidRDefault="00F1680A" w:rsidP="00D02FB2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Arial" w:eastAsiaTheme="minorHAnsi" w:hAnsi="Arial" w:cs="Arial"/>
          <w:i/>
        </w:rPr>
      </w:pPr>
      <w:r>
        <w:rPr>
          <w:rFonts w:ascii="Arial" w:eastAsiaTheme="minorHAnsi" w:hAnsi="Arial" w:cs="Arial"/>
          <w:lang w:val="sr-Cyrl-RS"/>
        </w:rPr>
        <w:t>У</w:t>
      </w:r>
      <w:proofErr w:type="spellStart"/>
      <w:r w:rsidRPr="00F1680A">
        <w:rPr>
          <w:rFonts w:ascii="Arial" w:eastAsiaTheme="minorHAnsi" w:hAnsi="Arial" w:cs="Arial"/>
        </w:rPr>
        <w:t>слов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који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се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односи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на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кадровски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капацитет</w:t>
      </w:r>
      <w:proofErr w:type="spellEnd"/>
      <w:r>
        <w:rPr>
          <w:rFonts w:ascii="Arial" w:eastAsiaTheme="minorHAnsi" w:hAnsi="Arial" w:cs="Arial"/>
          <w:lang w:val="sr-Cyrl-RS"/>
        </w:rPr>
        <w:t xml:space="preserve"> (</w:t>
      </w:r>
      <w:proofErr w:type="spellStart"/>
      <w:r w:rsidRPr="00F1680A">
        <w:rPr>
          <w:rFonts w:ascii="Arial" w:eastAsiaTheme="minorHAnsi" w:hAnsi="Arial" w:cs="Arial"/>
        </w:rPr>
        <w:t>да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  <w:lang w:val="sr-Cyrl-RS"/>
        </w:rPr>
        <w:t xml:space="preserve">понуђач </w:t>
      </w:r>
      <w:proofErr w:type="spellStart"/>
      <w:r w:rsidRPr="00F1680A">
        <w:rPr>
          <w:rFonts w:ascii="Arial" w:eastAsiaTheme="minorHAnsi" w:hAnsi="Arial" w:cs="Arial"/>
        </w:rPr>
        <w:t>има</w:t>
      </w:r>
      <w:proofErr w:type="spellEnd"/>
      <w:r w:rsidRPr="00F1680A">
        <w:rPr>
          <w:rFonts w:ascii="Arial" w:eastAsiaTheme="minorHAnsi" w:hAnsi="Arial" w:cs="Arial"/>
        </w:rPr>
        <w:t xml:space="preserve"> у </w:t>
      </w:r>
      <w:proofErr w:type="spellStart"/>
      <w:r w:rsidRPr="00F1680A">
        <w:rPr>
          <w:rFonts w:ascii="Arial" w:eastAsiaTheme="minorHAnsi" w:hAnsi="Arial" w:cs="Arial"/>
        </w:rPr>
        <w:t>радном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односу</w:t>
      </w:r>
      <w:proofErr w:type="spellEnd"/>
      <w:r w:rsidRPr="00F1680A">
        <w:rPr>
          <w:rFonts w:ascii="Arial" w:eastAsiaTheme="minorHAnsi" w:hAnsi="Arial" w:cs="Arial"/>
        </w:rPr>
        <w:t>/</w:t>
      </w:r>
      <w:proofErr w:type="spellStart"/>
      <w:r w:rsidRPr="00F1680A">
        <w:rPr>
          <w:rFonts w:ascii="Arial" w:eastAsiaTheme="minorHAnsi" w:hAnsi="Arial" w:cs="Arial"/>
        </w:rPr>
        <w:t>радно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ангажовано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минимум</w:t>
      </w:r>
      <w:proofErr w:type="spellEnd"/>
      <w:r w:rsidRPr="00F1680A">
        <w:rPr>
          <w:rFonts w:ascii="Arial" w:eastAsiaTheme="minorHAnsi" w:hAnsi="Arial" w:cs="Arial"/>
        </w:rPr>
        <w:t xml:space="preserve"> 1 (</w:t>
      </w:r>
      <w:proofErr w:type="spellStart"/>
      <w:r w:rsidRPr="00F1680A">
        <w:rPr>
          <w:rFonts w:ascii="Arial" w:eastAsiaTheme="minorHAnsi" w:hAnsi="Arial" w:cs="Arial"/>
        </w:rPr>
        <w:t>једно</w:t>
      </w:r>
      <w:proofErr w:type="spellEnd"/>
      <w:r w:rsidRPr="00F1680A">
        <w:rPr>
          <w:rFonts w:ascii="Arial" w:eastAsiaTheme="minorHAnsi" w:hAnsi="Arial" w:cs="Arial"/>
        </w:rPr>
        <w:t xml:space="preserve">) </w:t>
      </w:r>
      <w:proofErr w:type="spellStart"/>
      <w:r w:rsidRPr="00F1680A">
        <w:rPr>
          <w:rFonts w:ascii="Arial" w:eastAsiaTheme="minorHAnsi" w:hAnsi="Arial" w:cs="Arial"/>
        </w:rPr>
        <w:t>лиц</w:t>
      </w:r>
      <w:proofErr w:type="spellEnd"/>
      <w:r>
        <w:rPr>
          <w:rFonts w:ascii="Arial" w:eastAsiaTheme="minorHAnsi" w:hAnsi="Arial" w:cs="Arial"/>
          <w:lang w:val="sr-Cyrl-RS"/>
        </w:rPr>
        <w:t>е</w:t>
      </w:r>
      <w:r w:rsidRPr="00F1680A">
        <w:rPr>
          <w:rFonts w:ascii="Arial" w:eastAsiaTheme="minorHAnsi" w:hAnsi="Arial" w:cs="Arial"/>
        </w:rPr>
        <w:t xml:space="preserve"> -  </w:t>
      </w:r>
      <w:proofErr w:type="spellStart"/>
      <w:r w:rsidRPr="00F1680A">
        <w:rPr>
          <w:rFonts w:ascii="Arial" w:eastAsiaTheme="minorHAnsi" w:hAnsi="Arial" w:cs="Arial"/>
        </w:rPr>
        <w:t>сервисера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сертификован</w:t>
      </w:r>
      <w:proofErr w:type="spellEnd"/>
      <w:r>
        <w:rPr>
          <w:rFonts w:ascii="Arial" w:eastAsiaTheme="minorHAnsi" w:hAnsi="Arial" w:cs="Arial"/>
          <w:lang w:val="sr-Cyrl-RS"/>
        </w:rPr>
        <w:t>ог</w:t>
      </w:r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за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</w:rPr>
        <w:t>сервисирање</w:t>
      </w:r>
      <w:proofErr w:type="spellEnd"/>
      <w:r w:rsidRPr="00F1680A">
        <w:rPr>
          <w:rFonts w:ascii="Arial" w:eastAsiaTheme="minorHAnsi" w:hAnsi="Arial" w:cs="Arial"/>
        </w:rPr>
        <w:t xml:space="preserve"> </w:t>
      </w:r>
      <w:proofErr w:type="spellStart"/>
      <w:r w:rsidRPr="00F1680A">
        <w:rPr>
          <w:rFonts w:ascii="Arial" w:eastAsiaTheme="minorHAnsi" w:hAnsi="Arial" w:cs="Arial"/>
          <w:i/>
        </w:rPr>
        <w:lastRenderedPageBreak/>
        <w:t>предметне</w:t>
      </w:r>
      <w:proofErr w:type="spellEnd"/>
      <w:r w:rsidRPr="00F1680A">
        <w:rPr>
          <w:rFonts w:ascii="Arial" w:eastAsiaTheme="minorHAnsi" w:hAnsi="Arial" w:cs="Arial"/>
          <w:i/>
        </w:rPr>
        <w:t xml:space="preserve"> </w:t>
      </w:r>
      <w:proofErr w:type="spellStart"/>
      <w:r w:rsidRPr="00F1680A">
        <w:rPr>
          <w:rFonts w:ascii="Arial" w:eastAsiaTheme="minorHAnsi" w:hAnsi="Arial" w:cs="Arial"/>
          <w:i/>
        </w:rPr>
        <w:t>опреме</w:t>
      </w:r>
      <w:proofErr w:type="spellEnd"/>
      <w:r>
        <w:rPr>
          <w:rFonts w:ascii="Arial" w:eastAsiaTheme="minorHAnsi" w:hAnsi="Arial" w:cs="Arial"/>
          <w:i/>
          <w:lang w:val="sr-Cyrl-RS"/>
        </w:rPr>
        <w:t xml:space="preserve">), </w:t>
      </w:r>
      <w:r>
        <w:rPr>
          <w:rFonts w:ascii="Arial" w:eastAsiaTheme="minorHAnsi" w:hAnsi="Arial" w:cs="Arial"/>
          <w:lang w:val="sr-Cyrl-RS"/>
        </w:rPr>
        <w:t xml:space="preserve">односи се сертификованост за одржавање </w:t>
      </w:r>
      <w:r>
        <w:rPr>
          <w:rFonts w:ascii="Arial" w:eastAsiaTheme="minorHAnsi" w:hAnsi="Arial" w:cs="Arial"/>
          <w:i/>
          <w:lang w:val="sr-Cyrl-RS"/>
        </w:rPr>
        <w:t>неких од предвиђених</w:t>
      </w:r>
      <w:r w:rsidRPr="00F1680A">
        <w:rPr>
          <w:rFonts w:ascii="Arial" w:eastAsiaTheme="minorHAnsi" w:hAnsi="Arial" w:cs="Arial"/>
          <w:i/>
          <w:lang w:val="sr-Cyrl-RS"/>
        </w:rPr>
        <w:t xml:space="preserve"> система аутоматског мониторинга квалитета ваздуха.</w:t>
      </w:r>
      <w:r>
        <w:rPr>
          <w:rFonts w:ascii="Arial" w:eastAsiaTheme="minorHAnsi" w:hAnsi="Arial" w:cs="Arial"/>
          <w:lang w:val="sr-Cyrl-RS"/>
        </w:rPr>
        <w:t xml:space="preserve"> Наиме, није потребно да сервисер има сертификате за одржавање све наведене опреме обухваћене овом партијом, већ и/или</w:t>
      </w:r>
      <w:r w:rsidRPr="00F1680A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 w:rsidR="00D02FB2">
        <w:rPr>
          <w:rFonts w:ascii="Arial" w:hAnsi="Arial" w:cs="Arial"/>
          <w:noProof/>
          <w:sz w:val="20"/>
          <w:szCs w:val="20"/>
          <w:lang w:val="sr-Cyrl-CS"/>
        </w:rPr>
        <w:t>(</w:t>
      </w:r>
      <w:r w:rsidRPr="00F1680A">
        <w:rPr>
          <w:rFonts w:ascii="Arial" w:eastAsiaTheme="minorHAnsi" w:hAnsi="Arial" w:cs="Arial"/>
          <w:lang w:val="sr-Cyrl-CS"/>
        </w:rPr>
        <w:t>произвођача</w:t>
      </w:r>
      <w:r w:rsidR="00D02FB2">
        <w:rPr>
          <w:rFonts w:ascii="Arial" w:eastAsiaTheme="minorHAnsi" w:hAnsi="Arial" w:cs="Arial"/>
          <w:lang w:val="sr-Cyrl-CS"/>
        </w:rPr>
        <w:t xml:space="preserve">) </w:t>
      </w:r>
      <w:r w:rsidRPr="00D02FB2">
        <w:rPr>
          <w:rFonts w:ascii="Arial" w:eastAsiaTheme="minorHAnsi" w:hAnsi="Arial" w:cs="Arial"/>
          <w:bCs/>
          <w:lang w:val="sr-Latn-CS"/>
        </w:rPr>
        <w:t>Horiba</w:t>
      </w:r>
      <w:r w:rsidR="00D02FB2" w:rsidRPr="00D02FB2">
        <w:rPr>
          <w:rFonts w:ascii="Arial" w:eastAsiaTheme="minorHAnsi" w:hAnsi="Arial" w:cs="Arial"/>
          <w:bCs/>
          <w:lang w:val="sr-Cyrl-RS"/>
        </w:rPr>
        <w:t xml:space="preserve"> и/или</w:t>
      </w:r>
      <w:r w:rsidR="00D02FB2" w:rsidRPr="00D02FB2">
        <w:rPr>
          <w:rFonts w:ascii="Arial" w:eastAsiaTheme="minorHAnsi" w:hAnsi="Arial" w:cs="Arial"/>
          <w:bCs/>
          <w:lang w:val="sr-Latn-CS"/>
        </w:rPr>
        <w:t xml:space="preserve"> Leckel</w:t>
      </w:r>
      <w:r w:rsidR="00D02FB2" w:rsidRPr="00D02FB2">
        <w:rPr>
          <w:rFonts w:ascii="Arial" w:eastAsiaTheme="minorHAnsi" w:hAnsi="Arial" w:cs="Arial"/>
          <w:bCs/>
          <w:lang w:val="sr-Cyrl-RS"/>
        </w:rPr>
        <w:t xml:space="preserve"> и/или</w:t>
      </w:r>
      <w:r w:rsidR="00D02FB2" w:rsidRPr="00D02FB2">
        <w:rPr>
          <w:rFonts w:ascii="Arial" w:eastAsiaTheme="minorHAnsi" w:hAnsi="Arial" w:cs="Arial"/>
          <w:bCs/>
          <w:lang w:val="sr-Latn-CS"/>
        </w:rPr>
        <w:t xml:space="preserve"> Almemo</w:t>
      </w:r>
      <w:r w:rsidR="00D02FB2" w:rsidRPr="00D02FB2">
        <w:rPr>
          <w:rFonts w:ascii="Arial" w:eastAsiaTheme="minorHAnsi" w:hAnsi="Arial" w:cs="Arial"/>
          <w:bCs/>
          <w:lang w:val="sr-Cyrl-RS"/>
        </w:rPr>
        <w:t xml:space="preserve"> и/или</w:t>
      </w:r>
      <w:r w:rsidR="00D02FB2" w:rsidRPr="00D02FB2">
        <w:rPr>
          <w:rFonts w:ascii="Arial" w:eastAsiaTheme="minorHAnsi" w:hAnsi="Arial" w:cs="Arial"/>
          <w:bCs/>
          <w:lang w:val="sr-Latn-CS"/>
        </w:rPr>
        <w:t xml:space="preserve"> Chromatotech</w:t>
      </w:r>
      <w:r w:rsidR="00D02FB2" w:rsidRPr="00D02FB2">
        <w:rPr>
          <w:rFonts w:ascii="Arial" w:eastAsiaTheme="minorHAnsi" w:hAnsi="Arial" w:cs="Arial"/>
          <w:bCs/>
          <w:lang w:val="sr-Cyrl-RS"/>
        </w:rPr>
        <w:t xml:space="preserve"> и/или</w:t>
      </w:r>
      <w:r w:rsidR="00D02FB2" w:rsidRPr="00D02FB2">
        <w:rPr>
          <w:rFonts w:ascii="Arial" w:eastAsiaTheme="minorHAnsi" w:hAnsi="Arial" w:cs="Arial"/>
          <w:bCs/>
          <w:lang w:val="sr-Cyrl-CS"/>
        </w:rPr>
        <w:t xml:space="preserve"> </w:t>
      </w:r>
      <w:r w:rsidR="00D02FB2" w:rsidRPr="00D02FB2">
        <w:rPr>
          <w:rFonts w:ascii="Arial" w:eastAsiaTheme="minorHAnsi" w:hAnsi="Arial" w:cs="Arial"/>
          <w:bCs/>
          <w:lang w:val="sr-Latn-CS"/>
        </w:rPr>
        <w:t>Thermo Scientific</w:t>
      </w:r>
      <w:r w:rsidR="00D02FB2" w:rsidRPr="00D02FB2">
        <w:rPr>
          <w:rFonts w:ascii="Arial" w:eastAsiaTheme="minorHAnsi" w:hAnsi="Arial" w:cs="Arial"/>
          <w:bCs/>
          <w:lang w:val="sr-Cyrl-RS"/>
        </w:rPr>
        <w:t xml:space="preserve"> </w:t>
      </w:r>
      <w:r w:rsidRPr="00D02FB2">
        <w:rPr>
          <w:rFonts w:ascii="Arial" w:eastAsiaTheme="minorHAnsi" w:hAnsi="Arial" w:cs="Arial"/>
          <w:bCs/>
          <w:lang w:val="sr-Latn-CS"/>
        </w:rPr>
        <w:t xml:space="preserve"> </w:t>
      </w:r>
      <w:r w:rsidR="00D02FB2" w:rsidRPr="00D02FB2">
        <w:rPr>
          <w:rFonts w:ascii="Arial" w:eastAsiaTheme="minorHAnsi" w:hAnsi="Arial" w:cs="Arial"/>
          <w:bCs/>
          <w:lang w:val="sr-Cyrl-RS"/>
        </w:rPr>
        <w:t>и/или</w:t>
      </w:r>
      <w:r w:rsidR="00D02FB2" w:rsidRPr="00D02FB2">
        <w:rPr>
          <w:rFonts w:ascii="Arial" w:eastAsiaTheme="minorHAnsi" w:hAnsi="Arial" w:cs="Arial"/>
          <w:bCs/>
          <w:lang w:val="sr-Cyrl-CS"/>
        </w:rPr>
        <w:t xml:space="preserve"> </w:t>
      </w:r>
      <w:r w:rsidRPr="00D02FB2">
        <w:rPr>
          <w:rFonts w:ascii="Arial" w:eastAsiaTheme="minorHAnsi" w:hAnsi="Arial" w:cs="Arial"/>
          <w:bCs/>
          <w:lang w:val="sr-Latn-CS"/>
        </w:rPr>
        <w:t>EAS Envimet analytical systems GMBH</w:t>
      </w:r>
      <w:r w:rsidR="00D02FB2">
        <w:rPr>
          <w:rFonts w:ascii="Arial" w:eastAsiaTheme="minorHAnsi" w:hAnsi="Arial" w:cs="Arial"/>
          <w:bCs/>
          <w:lang w:val="sr-Cyrl-RS"/>
        </w:rPr>
        <w:t>.</w:t>
      </w:r>
      <w:r w:rsidR="00D02FB2" w:rsidRPr="00D02FB2">
        <w:rPr>
          <w:rFonts w:ascii="Arial" w:eastAsiaTheme="minorHAnsi" w:hAnsi="Arial" w:cs="Arial"/>
          <w:lang w:val="sr-Cyrl-RS"/>
        </w:rPr>
        <w:t xml:space="preserve"> </w:t>
      </w:r>
      <w:r w:rsidR="00D02FB2">
        <w:rPr>
          <w:rFonts w:ascii="Arial" w:eastAsiaTheme="minorHAnsi" w:hAnsi="Arial" w:cs="Arial"/>
          <w:bCs/>
          <w:lang w:val="sr-Cyrl-RS"/>
        </w:rPr>
        <w:t>Појашњење</w:t>
      </w:r>
      <w:r w:rsidR="00D02FB2" w:rsidRPr="00D02FB2">
        <w:rPr>
          <w:rFonts w:ascii="Arial" w:eastAsiaTheme="minorHAnsi" w:hAnsi="Arial" w:cs="Arial"/>
          <w:bCs/>
          <w:lang w:val="sr-Cyrl-RS"/>
        </w:rPr>
        <w:t xml:space="preserve"> ће бити </w:t>
      </w:r>
      <w:r w:rsidR="00D02FB2">
        <w:rPr>
          <w:rFonts w:ascii="Arial" w:eastAsiaTheme="minorHAnsi" w:hAnsi="Arial" w:cs="Arial"/>
          <w:bCs/>
          <w:lang w:val="sr-Cyrl-RS"/>
        </w:rPr>
        <w:t>дато</w:t>
      </w:r>
      <w:r w:rsidR="00D02FB2" w:rsidRPr="00D02FB2">
        <w:rPr>
          <w:rFonts w:ascii="Arial" w:eastAsiaTheme="minorHAnsi" w:hAnsi="Arial" w:cs="Arial"/>
          <w:bCs/>
          <w:lang w:val="sr-Cyrl-RS"/>
        </w:rPr>
        <w:t xml:space="preserve"> у оквиру Измене конкурсне документације која ће се благовремено објавити на Порталу јавних набавки и интернет страници Наручиоца, као и обавештење о продужењу рока за подношење понуда</w:t>
      </w:r>
    </w:p>
    <w:p w:rsidR="00317176" w:rsidRPr="00317176" w:rsidRDefault="00317176" w:rsidP="00F1680A">
      <w:pPr>
        <w:pStyle w:val="ListParagraph"/>
        <w:spacing w:after="0" w:line="240" w:lineRule="auto"/>
        <w:jc w:val="both"/>
        <w:rPr>
          <w:rFonts w:ascii="Arial" w:eastAsiaTheme="minorHAnsi" w:hAnsi="Arial" w:cs="Arial"/>
        </w:rPr>
      </w:pP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</w:p>
    <w:p w:rsidR="00CA673F" w:rsidRDefault="00CA673F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</w:p>
    <w:p w:rsidR="00CA673F" w:rsidRPr="00CA673F" w:rsidRDefault="00CA673F" w:rsidP="00E074C2">
      <w:pPr>
        <w:spacing w:after="0" w:line="240" w:lineRule="auto"/>
        <w:rPr>
          <w:rFonts w:ascii="Arial" w:eastAsiaTheme="minorHAnsi" w:hAnsi="Arial" w:cs="Arial"/>
          <w:lang w:val="sr-Cyrl-RS"/>
        </w:rPr>
      </w:pPr>
    </w:p>
    <w:p w:rsidR="0003493F" w:rsidRPr="0003493F" w:rsidRDefault="0003493F" w:rsidP="0003493F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lang w:val="sr-Cyrl-RS"/>
        </w:rPr>
      </w:pPr>
    </w:p>
    <w:p w:rsidR="00BA7B42" w:rsidRPr="00E074C2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3C79AA">
        <w:rPr>
          <w:rFonts w:ascii="Arial" w:hAnsi="Arial" w:cs="Arial"/>
          <w:b/>
          <w:bCs/>
        </w:rPr>
        <w:t>ВНР 30-II-27/15</w:t>
      </w:r>
    </w:p>
    <w:sectPr w:rsidR="00BA7B42" w:rsidRPr="00E074C2" w:rsidSect="00E074C2">
      <w:footerReference w:type="even" r:id="rId10"/>
      <w:footerReference w:type="default" r:id="rId11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0E" w:rsidRDefault="000E490E">
      <w:r>
        <w:separator/>
      </w:r>
    </w:p>
  </w:endnote>
  <w:endnote w:type="continuationSeparator" w:id="0">
    <w:p w:rsidR="000E490E" w:rsidRDefault="000E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2FB2">
      <w:rPr>
        <w:rStyle w:val="PageNumber"/>
        <w:noProof/>
      </w:rPr>
      <w:t>3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0E" w:rsidRDefault="000E490E">
      <w:r>
        <w:separator/>
      </w:r>
    </w:p>
  </w:footnote>
  <w:footnote w:type="continuationSeparator" w:id="0">
    <w:p w:rsidR="000E490E" w:rsidRDefault="000E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45D4C75"/>
    <w:multiLevelType w:val="hybridMultilevel"/>
    <w:tmpl w:val="580A03C0"/>
    <w:lvl w:ilvl="0" w:tplc="156E5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165FF"/>
    <w:multiLevelType w:val="hybridMultilevel"/>
    <w:tmpl w:val="88CC716E"/>
    <w:lvl w:ilvl="0" w:tplc="61069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93917"/>
    <w:multiLevelType w:val="hybridMultilevel"/>
    <w:tmpl w:val="B6C8ADF2"/>
    <w:lvl w:ilvl="0" w:tplc="93B2902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7295799"/>
    <w:multiLevelType w:val="hybridMultilevel"/>
    <w:tmpl w:val="8F3EC29A"/>
    <w:lvl w:ilvl="0" w:tplc="405C6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C5246"/>
    <w:multiLevelType w:val="hybridMultilevel"/>
    <w:tmpl w:val="FA1EDEE0"/>
    <w:lvl w:ilvl="0" w:tplc="CFFC8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2143D"/>
    <w:multiLevelType w:val="hybridMultilevel"/>
    <w:tmpl w:val="6E74EC8C"/>
    <w:lvl w:ilvl="0" w:tplc="021421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8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8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14"/>
  </w:num>
  <w:num w:numId="5">
    <w:abstractNumId w:val="16"/>
  </w:num>
  <w:num w:numId="6">
    <w:abstractNumId w:val="10"/>
  </w:num>
  <w:num w:numId="7">
    <w:abstractNumId w:val="0"/>
  </w:num>
  <w:num w:numId="8">
    <w:abstractNumId w:val="21"/>
  </w:num>
  <w:num w:numId="9">
    <w:abstractNumId w:val="2"/>
  </w:num>
  <w:num w:numId="10">
    <w:abstractNumId w:val="5"/>
  </w:num>
  <w:num w:numId="11">
    <w:abstractNumId w:val="17"/>
  </w:num>
  <w:num w:numId="12">
    <w:abstractNumId w:val="22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9"/>
  </w:num>
  <w:num w:numId="19">
    <w:abstractNumId w:val="15"/>
  </w:num>
  <w:num w:numId="20">
    <w:abstractNumId w:val="7"/>
  </w:num>
  <w:num w:numId="21">
    <w:abstractNumId w:val="9"/>
  </w:num>
  <w:num w:numId="22">
    <w:abstractNumId w:val="11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3493F"/>
    <w:rsid w:val="0004405D"/>
    <w:rsid w:val="00063B69"/>
    <w:rsid w:val="000A3BDF"/>
    <w:rsid w:val="000C3DE6"/>
    <w:rsid w:val="000E490E"/>
    <w:rsid w:val="0010447F"/>
    <w:rsid w:val="00141B8C"/>
    <w:rsid w:val="001522DA"/>
    <w:rsid w:val="0016300D"/>
    <w:rsid w:val="001659C9"/>
    <w:rsid w:val="001662CE"/>
    <w:rsid w:val="00181116"/>
    <w:rsid w:val="0018498B"/>
    <w:rsid w:val="001C3049"/>
    <w:rsid w:val="001D103B"/>
    <w:rsid w:val="001E46B5"/>
    <w:rsid w:val="00205AE0"/>
    <w:rsid w:val="00205FD0"/>
    <w:rsid w:val="002303DA"/>
    <w:rsid w:val="00281F25"/>
    <w:rsid w:val="00297DEE"/>
    <w:rsid w:val="002F4D14"/>
    <w:rsid w:val="00317176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C79AA"/>
    <w:rsid w:val="003D5F95"/>
    <w:rsid w:val="003E4115"/>
    <w:rsid w:val="003E6101"/>
    <w:rsid w:val="003F1AF3"/>
    <w:rsid w:val="00414D64"/>
    <w:rsid w:val="004261DC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E0F9F"/>
    <w:rsid w:val="006238F4"/>
    <w:rsid w:val="00652D5B"/>
    <w:rsid w:val="00681551"/>
    <w:rsid w:val="006A064E"/>
    <w:rsid w:val="006B1204"/>
    <w:rsid w:val="006B5CF1"/>
    <w:rsid w:val="006C140F"/>
    <w:rsid w:val="006C749A"/>
    <w:rsid w:val="006E2A4A"/>
    <w:rsid w:val="006E31E3"/>
    <w:rsid w:val="007251AC"/>
    <w:rsid w:val="007312BA"/>
    <w:rsid w:val="007A04F8"/>
    <w:rsid w:val="007A5505"/>
    <w:rsid w:val="007B2244"/>
    <w:rsid w:val="007B536F"/>
    <w:rsid w:val="007C305B"/>
    <w:rsid w:val="007F2027"/>
    <w:rsid w:val="00810461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A1488"/>
    <w:rsid w:val="009B443A"/>
    <w:rsid w:val="009B6457"/>
    <w:rsid w:val="009D674E"/>
    <w:rsid w:val="009F7FA3"/>
    <w:rsid w:val="00A130DB"/>
    <w:rsid w:val="00A1632F"/>
    <w:rsid w:val="00A2021C"/>
    <w:rsid w:val="00A23734"/>
    <w:rsid w:val="00A27DD1"/>
    <w:rsid w:val="00A33C24"/>
    <w:rsid w:val="00A37CA7"/>
    <w:rsid w:val="00A61A39"/>
    <w:rsid w:val="00A80E18"/>
    <w:rsid w:val="00A828E9"/>
    <w:rsid w:val="00A90901"/>
    <w:rsid w:val="00A944E2"/>
    <w:rsid w:val="00AC401F"/>
    <w:rsid w:val="00AE63A6"/>
    <w:rsid w:val="00B52ABC"/>
    <w:rsid w:val="00B7054B"/>
    <w:rsid w:val="00B81C02"/>
    <w:rsid w:val="00B96930"/>
    <w:rsid w:val="00BA56D7"/>
    <w:rsid w:val="00BA7B42"/>
    <w:rsid w:val="00BB20E3"/>
    <w:rsid w:val="00BC4144"/>
    <w:rsid w:val="00BF6C6B"/>
    <w:rsid w:val="00C027E5"/>
    <w:rsid w:val="00C17732"/>
    <w:rsid w:val="00C223E1"/>
    <w:rsid w:val="00C745B5"/>
    <w:rsid w:val="00C81CA8"/>
    <w:rsid w:val="00C92FF2"/>
    <w:rsid w:val="00CA673F"/>
    <w:rsid w:val="00CB3D5D"/>
    <w:rsid w:val="00CC374B"/>
    <w:rsid w:val="00CE38E2"/>
    <w:rsid w:val="00D00B98"/>
    <w:rsid w:val="00D02FB2"/>
    <w:rsid w:val="00D242F4"/>
    <w:rsid w:val="00D274CC"/>
    <w:rsid w:val="00D65526"/>
    <w:rsid w:val="00D67015"/>
    <w:rsid w:val="00D70051"/>
    <w:rsid w:val="00D738D4"/>
    <w:rsid w:val="00D93EBC"/>
    <w:rsid w:val="00DE0125"/>
    <w:rsid w:val="00DF13B3"/>
    <w:rsid w:val="00E074C2"/>
    <w:rsid w:val="00E13F94"/>
    <w:rsid w:val="00E2059F"/>
    <w:rsid w:val="00E20C5B"/>
    <w:rsid w:val="00E60D6E"/>
    <w:rsid w:val="00E72D88"/>
    <w:rsid w:val="00E82D74"/>
    <w:rsid w:val="00EF3E43"/>
    <w:rsid w:val="00F1680A"/>
    <w:rsid w:val="00F325FF"/>
    <w:rsid w:val="00F37666"/>
    <w:rsid w:val="00F90D35"/>
    <w:rsid w:val="00F91D2F"/>
    <w:rsid w:val="00F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148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8</cp:revision>
  <cp:lastPrinted>2006-09-08T06:45:00Z</cp:lastPrinted>
  <dcterms:created xsi:type="dcterms:W3CDTF">2015-11-30T11:26:00Z</dcterms:created>
  <dcterms:modified xsi:type="dcterms:W3CDTF">2015-12-23T13:12:00Z</dcterms:modified>
</cp:coreProperties>
</file>